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b4d90a163444cb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40682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HRVATSKI ŠPORTSKI MUZEJ</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235.466,29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561.302,37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213.936,14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300.762,70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21.530,15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260.539,67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551.233,25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243.369,87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551.233,25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243.369,87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17.169,80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Hrvatski športski muzej nije otvoren za javnost te posljedično gotovo da i nema vlastitih prihoda (izuzevši prihod na temelju ugovora o sponzorstvu za financiranje dijela troškova vezanog za otvorenje stalnog postava), skoro u cijelosti se financira iz državnog proračuna Republike Hrvatske, na izvoru 11. U navedenom razdoblju Hrvatski športski muzej ostvario je 561.302,37 eura prihoda poslovanja što je povećanje za 138,4% u odnosu na isto razdoblje prethodne godine. Povećanje se najvećim dijelom odnosi na stavku 671 prihodi iz nadležnog proračuna za financiranje redovne djelatnosti proračunskih korisnika. Ukupni rashodi poslovanja iznose 300.762,70 eura te su veći za 40,6% u odnosu na isto izvještajno razdoblje prethodne godine. Rashodi za nabavu nefinancijske imovine iznose 243.369,87 eura te su smanjeni za 55,8% iz razloga što je u istom razdoblju prethodne godine nabavljena znatna količina proizvedene dugotrajne imovine za opremanje postava u Ilici 13. Višak prihoda i primitaka rezultat je preuzetih obveza nastalih pripajanjem MMCDP i prihoda od pružanja sponzorskih usluga.</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235.466,29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561.302,37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238,4</w:t>
            </w:r>
          </w:p>
        </w:tc>
      </w:tr>
    </w:tbl>
    <w:p>
      <w:pPr>
        <w:spacing w:before="0" w:after="0"/>
      </w:pPr>
    </w:p>
    <w:p>
      <w:pPr>
        <w:jc w:val="both"/>
        <w:pStyle w:val="Normal"/>
        <w:spacing w:line="240" w:lineRule="auto"/>
      </w:pPr>
      <w:r>
        <w:rPr>
          <w:sz w:val="24"/>
          <w:rFonts w:ascii="Times New Roman" w:hAnsi="Times New Roman"/>
        </w:rPr>
        <w:t>Hrvatski športski muzej nije otvoren za javnost te posljedično gotovo da i nema vlastitih prihoda (izuzevši prihod na temelju ugovora o sponzorstvu za financiranje dijela troškova vezanog za otvorenje stalnog postava), skoro u cijelosti se financira iz državnog proračuna Republike Hrvatske, na izvoru 11. U navedenom razdoblju Hrvatski športski muzej ostvario je 561.302,37 eura prihoda poslovanja što je povećanje za 138,4% u odnosu na isto razdoblje prethodne godine. Povećanje se najvećim dijelom odnosi na stavku 671 prihodi iz nadležnog proračuna za financiranje redovne djelatnosti proračunskih korisnika.</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w:t>
            </w:r>
          </w:p>
        </w:tc>
      </w:tr>
    </w:tbl>
    <w:p>
      <w:pPr>
        <w:spacing w:before="0" w:after="0"/>
      </w:pPr>
    </w:p>
    <w:p>
      <w:pPr>
        <w:jc w:val="both"/>
        <w:pStyle w:val="Normal"/>
        <w:spacing w:line="240" w:lineRule="auto"/>
      </w:pPr>
      <w:r>
        <w:rPr>
          <w:sz w:val="24"/>
          <w:rFonts w:ascii="Times New Roman" w:hAnsi="Times New Roman"/>
        </w:rPr>
        <w:t>Kamata na depozite po viđenju od 6,37 eura – smanjenje od 90,9% zbog smanjenog priljeva sredstava na žiro račun ustanove</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temelju sklopljenog Ugovora o sponzorstvu s Hrvatskom lutrijom d.o.o. ostvareni su prihodi od pruženih usluga u iznosu od 8.000,00 eura.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w:t>
            </w:r>
          </w:p>
        </w:tc>
      </w:tr>
    </w:tbl>
    <w:p>
      <w:pPr>
        <w:spacing w:before="0" w:after="0"/>
      </w:pPr>
    </w:p>
    <w:p>
      <w:pPr>
        <w:jc w:val="both"/>
        <w:pStyle w:val="Normal"/>
        <w:spacing w:line="240" w:lineRule="auto"/>
      </w:pPr>
      <w:r>
        <w:rPr>
          <w:sz w:val="24"/>
          <w:rFonts w:ascii="Times New Roman" w:hAnsi="Times New Roman"/>
        </w:rPr>
        <w:t>Kapitalne donacije u iznosu od 12.559,00 eura po osnovama Ugovora o darovanju muzejske građe.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222.196,47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540.718,50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243,4</w:t>
            </w:r>
          </w:p>
        </w:tc>
      </w:tr>
    </w:tbl>
    <w:p>
      <w:pPr>
        <w:spacing w:before="0" w:after="0"/>
      </w:pPr>
    </w:p>
    <w:p>
      <w:pPr>
        <w:jc w:val="both"/>
        <w:pStyle w:val="Normal"/>
        <w:spacing w:line="240" w:lineRule="auto"/>
      </w:pPr>
      <w:r>
        <w:rPr>
          <w:sz w:val="24"/>
          <w:rFonts w:ascii="Times New Roman" w:hAnsi="Times New Roman"/>
        </w:rPr>
        <w:t>Prihodi iz nadležnog proračuna za financiranje redovne djelatnosti korisnika su glavna stavka ukupnih prihoda u iznosu od 540.718,50 eura. Od toga se 311.701,35 eura odnosi na financiranje rashoda poslovanja, a 229.017,15 eura na financiranje rashoda za nabavu nefinancijske imovine.
Povećanje u odnosu na izvještajno razdoblje prošle godine uglavnom je nastalo zbog povećanja prihoda za nabavu nefinancijske imovine za opremanje stalnog postava uslijed otvorenja.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213.936,14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300.762,70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w:t>
            </w:r>
          </w:p>
        </w:tc>
      </w:tr>
    </w:tbl>
    <w:p>
      <w:pPr>
        <w:spacing w:before="0" w:after="0"/>
      </w:pPr>
    </w:p>
    <w:p>
      <w:pPr>
        <w:jc w:val="both"/>
        <w:pStyle w:val="Normal"/>
        <w:spacing w:line="240" w:lineRule="auto"/>
      </w:pPr>
      <w:r>
        <w:rPr>
          <w:sz w:val="24"/>
          <w:rFonts w:ascii="Times New Roman" w:hAnsi="Times New Roman"/>
        </w:rPr>
        <w:t>Ukupni rashodi poslovanja iznose 300.762,70 eura te su veći za 40,6% u odnosu na isto izvještajno razdoblje prethodne godine.</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137.589,21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174.512,69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w:t>
            </w:r>
          </w:p>
        </w:tc>
      </w:tr>
    </w:tbl>
    <w:p>
      <w:pPr>
        <w:spacing w:before="0" w:after="0"/>
      </w:pPr>
    </w:p>
    <w:p>
      <w:pPr>
        <w:jc w:val="both"/>
        <w:pStyle w:val="Normal"/>
        <w:spacing w:line="240" w:lineRule="auto"/>
      </w:pPr>
      <w:r>
        <w:rPr>
          <w:sz w:val="24"/>
          <w:rFonts w:ascii="Times New Roman" w:hAnsi="Times New Roman"/>
        </w:rPr>
        <w:t>Rashodi za zaposlene iznose 174.512,69 eura. Povećanje na stavkama rashoda za zaposlene iznosi 26,8% u odnosu na isto izvještajno razdoblje prethodne godine te je rezultat izmjena nastalih primjenom Uredbe o nazivima radnih mjesta, uvjetima za raspored i koeficijentima za obračun plaće u javnim službama te povećanjem koeficijenata od veljače 2025. godine.</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76.057,99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125.857,47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165,5</w:t>
            </w:r>
          </w:p>
        </w:tc>
      </w:tr>
    </w:tbl>
    <w:p>
      <w:pPr>
        <w:spacing w:before="0" w:after="0"/>
      </w:pPr>
    </w:p>
    <w:p>
      <w:pPr>
        <w:jc w:val="both"/>
        <w:pStyle w:val="Normal"/>
        <w:spacing w:line="240" w:lineRule="auto"/>
      </w:pPr>
      <w:r>
        <w:rPr>
          <w:sz w:val="24"/>
          <w:rFonts w:ascii="Times New Roman" w:hAnsi="Times New Roman"/>
        </w:rPr>
        <w:t>Materijalni rashodi su povećani za 65,5% u odnosu na isto izvještajno razdoblje prethodne godine te iznose 125.857,47 eura.</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63,7</w:t>
            </w:r>
          </w:p>
        </w:tc>
      </w:tr>
    </w:tbl>
    <w:p>
      <w:pPr>
        <w:spacing w:before="0" w:after="0"/>
      </w:pPr>
    </w:p>
    <w:p>
      <w:pPr>
        <w:jc w:val="both"/>
        <w:pStyle w:val="Normal"/>
        <w:spacing w:line="240" w:lineRule="auto"/>
      </w:pPr>
      <w:r>
        <w:rPr>
          <w:sz w:val="24"/>
          <w:rFonts w:ascii="Times New Roman" w:hAnsi="Times New Roman"/>
        </w:rPr>
        <w:t>Naknade troškova zaposlenima iznose 2.837,26 eura te su smanjeni za 36,3% u odnosu na isto izvještajno razdoblje prethodne godine te su rezultat manjeg broja službenih putovanja.</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11.169,10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198,9</w:t>
            </w:r>
          </w:p>
        </w:tc>
      </w:tr>
    </w:tbl>
    <w:p>
      <w:pPr>
        <w:spacing w:before="0" w:after="0"/>
      </w:pPr>
    </w:p>
    <w:p>
      <w:pPr>
        <w:jc w:val="both"/>
        <w:pStyle w:val="Normal"/>
        <w:spacing w:line="240" w:lineRule="auto"/>
      </w:pPr>
      <w:r>
        <w:rPr>
          <w:sz w:val="24"/>
          <w:rFonts w:ascii="Times New Roman" w:hAnsi="Times New Roman"/>
        </w:rPr>
        <w:t>Rashodi za materijal i energiju iznose 11.169,10 eura te su povećani za 98,9% u odnosu na isto izvještajno razdoblje prethodne godine. Povećanje se sastoji od povećanja rashoda za nabavu suvenira za opremanje muzejskog dućana te povećanja rashoda za energiju uslijed pripajanja Muzejsko memorijalnog centra Dražen Petrović.</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65.319,29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105.905,43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162,1</w:t>
            </w:r>
          </w:p>
        </w:tc>
      </w:tr>
    </w:tbl>
    <w:p>
      <w:pPr>
        <w:spacing w:before="0" w:after="0"/>
      </w:pPr>
    </w:p>
    <w:p>
      <w:pPr>
        <w:jc w:val="both"/>
        <w:pStyle w:val="Normal"/>
        <w:spacing w:line="240" w:lineRule="auto"/>
      </w:pPr>
      <w:r>
        <w:rPr>
          <w:sz w:val="24"/>
          <w:rFonts w:ascii="Times New Roman" w:hAnsi="Times New Roman"/>
        </w:rPr>
        <w:t>Rashodi za usluge su povećani za 62,1% uglavnom zbog povećanog troška tekućeg i investicijskog održavanja, povećanja troškova za usluge interneta (uključenje usluga interneta u prostoru budućeg stalnog postava – Ilici 13 te podmirenje preuzetih obveza uslijed pripajanja MMCDP) te  povećanih intelektualnih i osobnih usluga za potrebe otvorenja stalnog postava i izložbe.</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889,4</w:t>
            </w:r>
          </w:p>
        </w:tc>
      </w:tr>
    </w:tbl>
    <w:p>
      <w:pPr>
        <w:spacing w:before="0" w:after="0"/>
      </w:pPr>
    </w:p>
    <w:p>
      <w:pPr>
        <w:jc w:val="both"/>
        <w:pStyle w:val="Normal"/>
        <w:spacing w:line="240" w:lineRule="auto"/>
      </w:pPr>
      <w:r>
        <w:rPr>
          <w:sz w:val="24"/>
          <w:rFonts w:ascii="Times New Roman" w:hAnsi="Times New Roman"/>
        </w:rPr>
        <w:t>Ostali nespomenuti rashodi poslovanja iznose 5.945,68 eura te imaju indeks 889,4% uslijed plaćanja parking karte za stanare Ilice 13 u iznosu od 3.990,00 eura za vrijeme trajanja radova i opremanja stalnog postava Muzeja za javnost te izdavanja novih FINA certifikata i plaćanja javnobilježničkih i sudskih pristojbi uslijed pripajanja MMCDP.</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pPr>
        <w:jc w:val="both"/>
        <w:pStyle w:val="Normal"/>
        <w:spacing w:line="240" w:lineRule="auto"/>
      </w:pPr>
      <w:r>
        <w:rPr>
          <w:sz w:val="24"/>
          <w:rFonts w:ascii="Times New Roman" w:hAnsi="Times New Roman"/>
        </w:rPr>
        <w:t>Financijski rashodi iznose 392,54 eura te su povećani za 35,9% u odnosu na isto izvještajno razdoblje prethodne godine, a uglavnom se odnose na bankarske usluge i usluge platnog prometa (naknade za održavanje računa, elektroničke naloge i sl.).</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prvom polugodištu 2025. godine plaćeno je 4,22 eura zateznih kamata koje su nastale zbog plaćanja nakon dospijeća režijskih troškova za prosinac 2024. i siječanj 2025. jer smo čekali doznaku sredstava osnivača budući da je otvorenje Muzeja za javnost u tijeku te Muzej ne ostvaruje vlastite prihode.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21.530,15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260.539,67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1210,1</w:t>
            </w:r>
          </w:p>
        </w:tc>
      </w:tr>
    </w:tbl>
    <w:p>
      <w:pPr>
        <w:spacing w:before="0" w:after="0"/>
      </w:pPr>
    </w:p>
    <w:p>
      <w:pPr>
        <w:jc w:val="both"/>
        <w:pStyle w:val="Normal"/>
        <w:spacing w:line="240" w:lineRule="auto"/>
      </w:pPr>
      <w:r>
        <w:rPr>
          <w:sz w:val="24"/>
          <w:rFonts w:ascii="Times New Roman" w:hAnsi="Times New Roman"/>
        </w:rPr>
        <w:t>Višak prihoda poslovanja iznosi 260.539,67 eura.</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551.233,25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243.369,87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w:t>
            </w:r>
          </w:p>
        </w:tc>
      </w:tr>
    </w:tbl>
    <w:p>
      <w:pPr>
        <w:spacing w:before="0" w:after="0"/>
      </w:pPr>
    </w:p>
    <w:p>
      <w:pPr>
        <w:jc w:val="both"/>
        <w:pStyle w:val="Normal"/>
        <w:spacing w:line="240" w:lineRule="auto"/>
      </w:pPr>
      <w:r>
        <w:rPr>
          <w:sz w:val="24"/>
          <w:rFonts w:ascii="Times New Roman" w:hAnsi="Times New Roman"/>
        </w:rPr>
        <w:t>Rashodi za nabavu nefinancijske imovine iznose 243.369,87 eura te su smanjeni za 55,8% iz razloga što je u istom razdoblju prethodne godine nabavljena znatna količina proizvedene dugotrajne imovine za opremanje postava u Ilici 13.</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251,3</w:t>
            </w:r>
          </w:p>
        </w:tc>
      </w:tr>
    </w:tbl>
    <w:p>
      <w:pPr>
        <w:spacing w:before="0" w:after="0"/>
      </w:pPr>
    </w:p>
    <w:p>
      <w:pPr>
        <w:jc w:val="both"/>
        <w:pStyle w:val="Normal"/>
        <w:spacing w:line="240" w:lineRule="auto"/>
      </w:pPr>
      <w:r>
        <w:rPr>
          <w:sz w:val="24"/>
          <w:rFonts w:ascii="Times New Roman" w:hAnsi="Times New Roman"/>
        </w:rPr>
        <w:t>Rashod za nabavu knjiga je povećan za 151,3%, te iznosi 504,94 eura, a odnosi se na pretplatu na Sportske novosti koje se potom uvezuje te čuvaju kao građa u muzejskoj knjižnici te otkupa knjiga za muzejsku knjižnicu.</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Umjetnička, literarna i znanstvena djela iznose 1.950,00 eura te se odnose na prava korištenja fotografija za potrebe stalnog postava Muzeja.</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551.233,25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243.369,87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w:t>
            </w:r>
          </w:p>
        </w:tc>
      </w:tr>
    </w:tbl>
    <w:p>
      <w:pPr>
        <w:spacing w:before="0" w:after="0"/>
      </w:pPr>
    </w:p>
    <w:p>
      <w:pPr>
        <w:jc w:val="both"/>
        <w:pStyle w:val="Normal"/>
        <w:spacing w:line="240" w:lineRule="auto"/>
      </w:pPr>
      <w:r>
        <w:rPr>
          <w:sz w:val="24"/>
          <w:rFonts w:ascii="Times New Roman" w:hAnsi="Times New Roman"/>
        </w:rPr>
        <w:t>Manjak prihoda od nefinancijske imovine smanjen je za 55,8% u odnosu na isto razdoblje prošle godine kad je nabavljena većina imovine za opremanje stalnog postava,  iznosi 243.369,87 eura te je jednak rashodima za nabavu nefinancijske imovine s obzirom da ustanova ne ostvaruje prihode od prodaje nefinancijske imovine. </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39.320,46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Manjak prihoda i primitaka za pokriće u sljedećem razdoblju iznosi 39.320,46 eura.</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546.209,28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w:t>
            </w:r>
          </w:p>
        </w:tc>
      </w:tr>
    </w:tbl>
    <w:p>
      <w:pPr>
        <w:spacing w:before="0" w:after="0"/>
      </w:pPr>
    </w:p>
    <w:p>
      <w:pPr>
        <w:jc w:val="both"/>
        <w:pStyle w:val="Normal"/>
        <w:spacing w:line="240" w:lineRule="auto"/>
      </w:pPr>
      <w:r>
        <w:rPr>
          <w:sz w:val="24"/>
          <w:rFonts w:ascii="Times New Roman" w:hAnsi="Times New Roman"/>
        </w:rPr>
        <w:t>Stanje novčanih sredstava na početku izvještajnog razdoblja iznosi 10.139,05 eura.</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19.042,53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31.117,19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w:t>
            </w:r>
          </w:p>
        </w:tc>
      </w:tr>
    </w:tbl>
    <w:p>
      <w:pPr>
        <w:spacing w:before="0" w:after="0"/>
      </w:pPr>
    </w:p>
    <w:p>
      <w:pPr>
        <w:jc w:val="both"/>
        <w:pStyle w:val="Normal"/>
        <w:spacing w:line="240" w:lineRule="auto"/>
      </w:pPr>
      <w:r>
        <w:rPr>
          <w:sz w:val="24"/>
          <w:rFonts w:ascii="Times New Roman" w:hAnsi="Times New Roman"/>
        </w:rPr>
        <w:t>Stanje novčanih sredstava na kraju izvještajnog razdoblja iznosi 31.117,19 eura, a uglavnom se sastoji od prihoda na temelju ugovora o sponzorstvu te primljenih jamčevina za uredno ispunjenje ugovora.</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Autorski honorari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21.356,16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w:t>
            </w:r>
          </w:p>
        </w:tc>
      </w:tr>
    </w:tbl>
    <w:p>
      <w:pPr>
        <w:spacing w:before="0" w:after="0"/>
      </w:pPr>
    </w:p>
    <w:p>
      <w:pPr>
        <w:jc w:val="both"/>
        <w:pStyle w:val="Normal"/>
        <w:spacing w:line="240" w:lineRule="auto"/>
      </w:pPr>
      <w:r>
        <w:rPr>
          <w:sz w:val="24"/>
          <w:rFonts w:ascii="Times New Roman" w:hAnsi="Times New Roman"/>
        </w:rPr>
        <w:t>Stavka autorskih honorara iznosi 12.830,31 eura te se odnosi na aktivnosti potrebne za otvorenje stalnog postava i izložbe Između korzeta i dresa- žene u sportu.</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918,2</w:t>
            </w:r>
          </w:p>
        </w:tc>
      </w:tr>
    </w:tbl>
    <w:p>
      <w:pPr>
        <w:spacing w:before="0" w:after="0"/>
      </w:pPr>
    </w:p>
    <w:p>
      <w:pPr>
        <w:jc w:val="both"/>
        <w:pStyle w:val="Normal"/>
        <w:spacing w:line="240" w:lineRule="auto"/>
      </w:pPr>
      <w:r>
        <w:rPr>
          <w:sz w:val="24"/>
          <w:rFonts w:ascii="Times New Roman" w:hAnsi="Times New Roman"/>
        </w:rPr>
        <w:t>Stavka ugovora o djelu iznosi 30.003,02 eura uz indeks od 918,2% i odnosi se na aktivnosti potrebne za otvorenje stalnog postava te realizaciju programa digitalizacije fotografija.</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43.364,25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obveza 1. siječnja 2025. iznosi 43.364,25 eura.</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575.467,20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Povećanje obveza u izvještajnom razdoblju iznosi 575.467,20 eura.</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Međusobne obveze subjekata općeg proračuna iznose 16.529,25 eura.</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547.416,68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Podmirene obveze u izvještajnom razdoblju iznose 547.416,68 eura.</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71.414,77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obveza na kraju izvještajnog razdoblja iznosi 71.414,77 eura.</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na kraju izvještajnog razdoblja iznosi 1.123,72 eura koje su u trenutku izvještaja plaćene, a do kašnjenja je došlo jer Muzej ne ostvaruje vlastite prihode, pa je nakon preuzetih obveza uslijed pripajanja Muzejsko memorijalnog centra Dražen Petrović podnesen zahtjev za sredstvima osnivaču, a s obzirom na proceduru i kratak rok dospijeća došlo je do kašnjenja.</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1.891,55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Međusobne obveze subjekata općeg proračuna na kraju obračunskog razdoblja iznose 1.891,55 eura, a odnose se na bolovanje na teret HZZO-a i zakupninu prostora Hrvatskog državnog arhiva za pohranu građe.</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45.867,84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rashode poslovanja iznose 45.867,84 eura,  odnose se na nedospjele obveze za plaću za lipanj i nedospjele obveze režijskih troškova za lipanj. </w:t>
      </w:r>
    </w:p>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22.406,66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Iznos od 22.406,66 eura odnosi se na obveze za primljenu jamčevinu za izvršenje ugovora partnera ETT S.p.A. u iznosu od 7.806,76 eura te Kojo d.o.o. u iznosu od 14.599,90 eura za uređenje prilaza i dvorišta budućeg stalnog postava Muzeja na adresi Ilica 13.</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00a4f7befc54747" /></Relationships>
</file>